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CC09DD" w14:textId="5071F0F3" w:rsidR="007835D6" w:rsidRPr="00CA0C90" w:rsidRDefault="00CA0C90" w:rsidP="00933BFB">
      <w:pPr>
        <w:jc w:val="both"/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</w:pPr>
      <w:r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>Participación en r</w:t>
      </w:r>
      <w:r w:rsidR="007835D6" w:rsidRPr="00CA0C90"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>eunión</w:t>
      </w:r>
      <w:r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>es</w:t>
      </w:r>
      <w:r w:rsidR="007835D6" w:rsidRPr="00CA0C90"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 xml:space="preserve"> </w:t>
      </w:r>
      <w:r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 xml:space="preserve">de seguimiento entre </w:t>
      </w:r>
      <w:r w:rsidR="007835D6" w:rsidRPr="00CA0C90"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 xml:space="preserve"> Fenoge </w:t>
      </w:r>
      <w:r w:rsidRPr="00CA0C90"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>–</w:t>
      </w:r>
      <w:r w:rsidR="00173FB6" w:rsidRPr="00CA0C90"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 xml:space="preserve"> MME</w:t>
      </w:r>
      <w:r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  <w:t xml:space="preserve"> y Fenoge</w:t>
      </w:r>
    </w:p>
    <w:p w14:paraId="7070E91F" w14:textId="77777777" w:rsidR="00CA0C90" w:rsidRPr="00CA0C90" w:rsidRDefault="00CA0C90" w:rsidP="00933BFB">
      <w:pPr>
        <w:jc w:val="both"/>
        <w:rPr>
          <w:rFonts w:ascii="Arial" w:eastAsia="Times New Roman" w:hAnsi="Arial" w:cs="Arial"/>
          <w:b/>
          <w:bCs/>
          <w:color w:val="282828"/>
          <w:sz w:val="22"/>
          <w:szCs w:val="22"/>
          <w:lang w:eastAsia="es-CO"/>
        </w:rPr>
      </w:pPr>
    </w:p>
    <w:p w14:paraId="19EEA303" w14:textId="77777777" w:rsidR="007835D6" w:rsidRPr="00CA0C90" w:rsidRDefault="007835D6" w:rsidP="00933BFB">
      <w:pPr>
        <w:jc w:val="both"/>
        <w:rPr>
          <w:rFonts w:ascii="Arial" w:eastAsia="Times New Roman" w:hAnsi="Arial" w:cs="Arial"/>
          <w:color w:val="282828"/>
          <w:sz w:val="22"/>
          <w:szCs w:val="22"/>
          <w:lang w:eastAsia="es-CO"/>
        </w:rPr>
      </w:pPr>
    </w:p>
    <w:p w14:paraId="47276F9F" w14:textId="77777777" w:rsidR="00CA0C90" w:rsidRPr="00CA0C90" w:rsidRDefault="00CA0C90" w:rsidP="00CA0C90">
      <w:pPr>
        <w:pStyle w:val="pdq2pgselectionanchorcontainer"/>
        <w:rPr>
          <w:rFonts w:ascii="Arial" w:hAnsi="Arial" w:cs="Arial"/>
        </w:rPr>
      </w:pPr>
      <w:r w:rsidRPr="00CA0C90">
        <w:rPr>
          <w:rFonts w:ascii="Arial" w:hAnsi="Arial" w:cs="Arial"/>
        </w:rPr>
        <w:t>Durante el periodo reportado se realizó seguimiento a las actividades desarrolladas por los equipos vinculados al Programa Colombia Solar, mediante la revisión y consolidación de información técnica, documental, comercial y territorial necesaria para la formulación, evaluación y viabilización de proyectos de autogeneración solar.</w:t>
      </w:r>
    </w:p>
    <w:p w14:paraId="4EF1EFAB" w14:textId="77777777" w:rsidR="00CA0C90" w:rsidRPr="00CA0C90" w:rsidRDefault="00CA0C90" w:rsidP="00CA0C90">
      <w:pPr>
        <w:pStyle w:val="NormalWeb"/>
        <w:rPr>
          <w:rFonts w:ascii="Arial" w:hAnsi="Arial" w:cs="Arial"/>
        </w:rPr>
      </w:pPr>
      <w:r w:rsidRPr="00CA0C90">
        <w:rPr>
          <w:rFonts w:ascii="Arial" w:hAnsi="Arial" w:cs="Arial"/>
        </w:rPr>
        <w:t>El seguimiento incluyó el análisis de los diagnósticos energéticos y socioeconómicos de Arauca y Casanare, identificando brechas de cobertura rural, problemas de continuidad del servicio, pérdidas de energía, informalidad de usuarios, condiciones de vulnerabilidad y características territoriales relevantes para la priorización de las intervenciones. Estos análisis permitieron generar insumos para orientar soluciones fotovoltaicas acordes con las necesidades de las comunidades y con los objetivos de transición energética justa.</w:t>
      </w:r>
    </w:p>
    <w:p w14:paraId="328442D9" w14:textId="77777777" w:rsidR="00CA0C90" w:rsidRPr="00CA0C90" w:rsidRDefault="00CA0C90" w:rsidP="00CA0C90">
      <w:pPr>
        <w:pStyle w:val="NormalWeb"/>
        <w:rPr>
          <w:rFonts w:ascii="Arial" w:hAnsi="Arial" w:cs="Arial"/>
        </w:rPr>
      </w:pPr>
      <w:r w:rsidRPr="00CA0C90">
        <w:rPr>
          <w:rFonts w:ascii="Arial" w:hAnsi="Arial" w:cs="Arial"/>
        </w:rPr>
        <w:t>También se efectuó seguimiento a la revisión de 541 documentos de potenciales beneficiarios remitidos por GECELCA y clasificados en etapa de factibilidad. La información fue contrastada con la base de datos entregada, verificando el NIC, la variación del consumo, los consumos superiores a 250 kWh, la existencia de cartera y el cumplimiento de requisitos documentales. Los resultados se clasificaron como correctos, con observación o con error, dejando la descripción de los hallazgos para su aclaración o corrección.</w:t>
      </w:r>
    </w:p>
    <w:p w14:paraId="17053C80" w14:textId="77777777" w:rsidR="00CA0C90" w:rsidRPr="00CA0C90" w:rsidRDefault="00CA0C90" w:rsidP="00CA0C90">
      <w:pPr>
        <w:pStyle w:val="NormalWeb"/>
        <w:rPr>
          <w:rFonts w:ascii="Arial" w:hAnsi="Arial" w:cs="Arial"/>
        </w:rPr>
      </w:pPr>
      <w:r w:rsidRPr="00CA0C90">
        <w:rPr>
          <w:rFonts w:ascii="Arial" w:hAnsi="Arial" w:cs="Arial"/>
        </w:rPr>
        <w:t>Asimismo, se apoyó la identificación de los operadores de red y comercializadores presentes en los departamentos priorizados, con el propósito de facilitar la verificación de los requisitos de conexión, medición, legalización y puesta en funcionamiento de los sistemas fotovoltaicos. Esta actividad permitió anticipar los trámites técnicos, normativos y procedimentales requeridos para la implementación de los proyectos.</w:t>
      </w:r>
    </w:p>
    <w:p w14:paraId="3EEEC0C8" w14:textId="77777777" w:rsidR="00CA0C90" w:rsidRPr="00CA0C90" w:rsidRDefault="00CA0C90" w:rsidP="00CA0C90">
      <w:pPr>
        <w:pStyle w:val="NormalWeb"/>
        <w:rPr>
          <w:rFonts w:ascii="Arial" w:hAnsi="Arial" w:cs="Arial"/>
        </w:rPr>
      </w:pPr>
      <w:r w:rsidRPr="00CA0C90">
        <w:rPr>
          <w:rFonts w:ascii="Arial" w:hAnsi="Arial" w:cs="Arial"/>
        </w:rPr>
        <w:t>De igual manera, se realizó seguimiento a la solicitud de información de usuarios beneficiarios de subsidios para los departamentos de Putumayo, Meta, Norte de Santander, Huila y Guaviare, mediante los formatos TC1, TC2 y TT2. Se consolidaron variables relacionadas con la identificación y ubicación de los usuarios, características de conexión, transformadores, medición, consumo, cartera, estrato socioeconómico e información predial, incorporando la ciudad o municipio como criterio para facilitar la clasificación y focalización territorial.</w:t>
      </w:r>
    </w:p>
    <w:p w14:paraId="6866A107" w14:textId="77777777" w:rsidR="00CA0C90" w:rsidRDefault="00CA0C90" w:rsidP="00CA0C90">
      <w:pPr>
        <w:pStyle w:val="NormalWeb"/>
        <w:rPr>
          <w:rFonts w:ascii="Arial" w:hAnsi="Arial" w:cs="Arial"/>
        </w:rPr>
      </w:pPr>
      <w:r w:rsidRPr="00CA0C90">
        <w:rPr>
          <w:rFonts w:ascii="Arial" w:hAnsi="Arial" w:cs="Arial"/>
        </w:rPr>
        <w:t xml:space="preserve">Finalmente, se analizaron aspectos relacionados con el funcionamiento y sostenibilidad financiera del FSSRI, así como la alta concentración de usuarios subsidiables, con el fin de sustentar la contribución de la autogeneración solar a la reducción del gasto energético de los hogares y de la presión sobre el esquema nacional de subsidios. En conjunto, estas actividades permitieron hacer seguimiento al avance de la formulación, evaluación y viabilización de los </w:t>
      </w:r>
      <w:r w:rsidRPr="00CA0C90">
        <w:rPr>
          <w:rFonts w:ascii="Arial" w:hAnsi="Arial" w:cs="Arial"/>
        </w:rPr>
        <w:lastRenderedPageBreak/>
        <w:t>proyectos, identificar inconsistencias y necesidades de información, y generar recomendaciones para orientar su implementación y posterior ejecución en articulación con las entidades territoriales, operadores de red, comercializadores y ejecutores del Programa Colombia Solar.</w:t>
      </w:r>
    </w:p>
    <w:p w14:paraId="13546DAA" w14:textId="77777777" w:rsidR="00CB3322" w:rsidRDefault="00CB3322" w:rsidP="00CA0C90">
      <w:pPr>
        <w:pStyle w:val="NormalWeb"/>
        <w:rPr>
          <w:rFonts w:ascii="Arial" w:hAnsi="Arial" w:cs="Arial"/>
        </w:rPr>
      </w:pPr>
    </w:p>
    <w:p w14:paraId="76340B2D" w14:textId="1B38DCCE" w:rsidR="00CB3322" w:rsidRPr="00CA0C90" w:rsidRDefault="00CB3322" w:rsidP="00CA0C90">
      <w:pPr>
        <w:pStyle w:val="NormalWeb"/>
        <w:rPr>
          <w:rFonts w:ascii="Arial" w:hAnsi="Arial" w:cs="Arial"/>
        </w:rPr>
      </w:pPr>
      <w:r w:rsidRPr="00ED711C">
        <w:rPr>
          <w:noProof/>
        </w:rPr>
        <w:drawing>
          <wp:inline distT="0" distB="0" distL="0" distR="0" wp14:anchorId="6F7B82F5" wp14:editId="16A4E819">
            <wp:extent cx="5612130" cy="3152775"/>
            <wp:effectExtent l="0" t="0" r="7620" b="9525"/>
            <wp:docPr id="12838334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83342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E7615" w14:textId="77777777" w:rsidR="009F7E9E" w:rsidRPr="00CA0C90" w:rsidRDefault="009F7E9E" w:rsidP="00933BFB">
      <w:pPr>
        <w:jc w:val="both"/>
        <w:rPr>
          <w:rFonts w:ascii="Arial" w:hAnsi="Arial" w:cs="Arial"/>
          <w:noProof/>
        </w:rPr>
      </w:pPr>
    </w:p>
    <w:p w14:paraId="15EABAF1" w14:textId="77777777" w:rsidR="009F7E9E" w:rsidRPr="00CA0C90" w:rsidRDefault="009F7E9E" w:rsidP="00933BFB">
      <w:pPr>
        <w:jc w:val="both"/>
        <w:rPr>
          <w:rFonts w:ascii="Arial" w:hAnsi="Arial" w:cs="Arial"/>
          <w:noProof/>
        </w:rPr>
      </w:pPr>
    </w:p>
    <w:p w14:paraId="5C9F9984" w14:textId="443C8AB8" w:rsidR="000B563E" w:rsidRPr="00CA0C90" w:rsidRDefault="000B563E" w:rsidP="000B377A">
      <w:pPr>
        <w:jc w:val="both"/>
        <w:rPr>
          <w:rFonts w:ascii="Arial" w:hAnsi="Arial" w:cs="Arial"/>
        </w:rPr>
      </w:pPr>
    </w:p>
    <w:sectPr w:rsidR="000B563E" w:rsidRPr="00CA0C9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563E"/>
    <w:rsid w:val="000B377A"/>
    <w:rsid w:val="000B563E"/>
    <w:rsid w:val="00170301"/>
    <w:rsid w:val="00173FB6"/>
    <w:rsid w:val="001867AB"/>
    <w:rsid w:val="001C60B2"/>
    <w:rsid w:val="002B0121"/>
    <w:rsid w:val="002B1B2B"/>
    <w:rsid w:val="00347465"/>
    <w:rsid w:val="00485D24"/>
    <w:rsid w:val="004E2E7C"/>
    <w:rsid w:val="00502A4B"/>
    <w:rsid w:val="00540D40"/>
    <w:rsid w:val="00583812"/>
    <w:rsid w:val="005A7C0B"/>
    <w:rsid w:val="005B6C82"/>
    <w:rsid w:val="00612679"/>
    <w:rsid w:val="00637FC0"/>
    <w:rsid w:val="006556BD"/>
    <w:rsid w:val="0068236D"/>
    <w:rsid w:val="006D64C8"/>
    <w:rsid w:val="007149F0"/>
    <w:rsid w:val="007835D6"/>
    <w:rsid w:val="007D359C"/>
    <w:rsid w:val="0088066A"/>
    <w:rsid w:val="00927927"/>
    <w:rsid w:val="00933BFB"/>
    <w:rsid w:val="009F1ABE"/>
    <w:rsid w:val="009F26AE"/>
    <w:rsid w:val="009F7E9E"/>
    <w:rsid w:val="00A42122"/>
    <w:rsid w:val="00AC6488"/>
    <w:rsid w:val="00B749D5"/>
    <w:rsid w:val="00BC4AE7"/>
    <w:rsid w:val="00BE0A8C"/>
    <w:rsid w:val="00C72268"/>
    <w:rsid w:val="00CA0C90"/>
    <w:rsid w:val="00CB3322"/>
    <w:rsid w:val="00CC30CF"/>
    <w:rsid w:val="00CD4CD2"/>
    <w:rsid w:val="00CF3011"/>
    <w:rsid w:val="00DD051A"/>
    <w:rsid w:val="00E8040B"/>
    <w:rsid w:val="00FC07E4"/>
    <w:rsid w:val="00FC334B"/>
    <w:rsid w:val="00FE2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58EDF"/>
  <w15:chartTrackingRefBased/>
  <w15:docId w15:val="{AB0EBE96-7FB6-4319-B9A5-B55911A5F2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F7E9E"/>
    <w:pPr>
      <w:spacing w:after="0" w:line="240" w:lineRule="auto"/>
    </w:pPr>
    <w:rPr>
      <w:kern w:val="0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0B563E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B563E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B563E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B563E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B563E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B563E"/>
    <w:pPr>
      <w:keepNext/>
      <w:keepLines/>
      <w:spacing w:before="4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B563E"/>
    <w:pPr>
      <w:keepNext/>
      <w:keepLines/>
      <w:spacing w:before="40" w:line="278" w:lineRule="auto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B563E"/>
    <w:pPr>
      <w:keepNext/>
      <w:keepLines/>
      <w:spacing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B563E"/>
    <w:pPr>
      <w:keepNext/>
      <w:keepLines/>
      <w:spacing w:line="278" w:lineRule="auto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B563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B563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B563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B563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B563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B563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B563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B563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B563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B563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0B56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B563E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0B56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B563E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0B563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B563E"/>
    <w:pPr>
      <w:spacing w:after="160" w:line="278" w:lineRule="auto"/>
      <w:ind w:left="720"/>
      <w:contextualSpacing/>
    </w:pPr>
    <w:rPr>
      <w:kern w:val="2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0B563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B563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B563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B563E"/>
    <w:rPr>
      <w:b/>
      <w:bCs/>
      <w:smallCaps/>
      <w:color w:val="0F4761" w:themeColor="accent1" w:themeShade="BF"/>
      <w:spacing w:val="5"/>
    </w:rPr>
  </w:style>
  <w:style w:type="paragraph" w:customStyle="1" w:styleId="pdq2pgselectionanchorcontainer">
    <w:name w:val="pdq2pg_selectionanchorcontainer"/>
    <w:basedOn w:val="Normal"/>
    <w:rsid w:val="00CA0C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CO"/>
    </w:rPr>
  </w:style>
  <w:style w:type="paragraph" w:styleId="NormalWeb">
    <w:name w:val="Normal (Web)"/>
    <w:basedOn w:val="Normal"/>
    <w:uiPriority w:val="99"/>
    <w:semiHidden/>
    <w:unhideWhenUsed/>
    <w:rsid w:val="00CA0C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429</Words>
  <Characters>2743</Characters>
  <Application>Microsoft Office Word</Application>
  <DocSecurity>0</DocSecurity>
  <Lines>44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M Arana A</dc:creator>
  <cp:keywords/>
  <dc:description/>
  <cp:lastModifiedBy>Juan M. Arana Aguas</cp:lastModifiedBy>
  <cp:revision>38</cp:revision>
  <cp:lastPrinted>2026-07-06T02:12:00Z</cp:lastPrinted>
  <dcterms:created xsi:type="dcterms:W3CDTF">2026-03-13T16:58:00Z</dcterms:created>
  <dcterms:modified xsi:type="dcterms:W3CDTF">2026-08-05T13:52:00Z</dcterms:modified>
</cp:coreProperties>
</file>